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37573531">
            <wp:extent cx="2251494" cy="77593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90" cy="78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386B5B85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807C2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1009FB04" w:rsidR="004F7948" w:rsidRPr="00D960F5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sz w:val="17"/>
          <w:szCs w:val="17"/>
          <w:lang w:eastAsia="ru-RU"/>
        </w:rPr>
        <w:t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Заявлении:</w:t>
      </w:r>
    </w:p>
    <w:p w14:paraId="73AEBA38" w14:textId="77777777" w:rsidR="00562993" w:rsidRPr="00D960F5" w:rsidRDefault="00562993" w:rsidP="00562993">
      <w:pPr>
        <w:spacing w:after="0" w:line="240" w:lineRule="auto"/>
        <w:ind w:firstLine="0"/>
        <w:rPr>
          <w:sz w:val="17"/>
          <w:szCs w:val="17"/>
        </w:rPr>
      </w:pPr>
    </w:p>
    <w:p w14:paraId="112AF533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 w:rsidRPr="002237F7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2237F7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через Систему «Личный кабинет клиента» (ЛКК)</w:t>
      </w:r>
    </w:p>
    <w:p w14:paraId="774A05EE" w14:textId="77777777" w:rsidR="00562993" w:rsidRPr="00D960F5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i/>
          <w:sz w:val="17"/>
          <w:szCs w:val="17"/>
          <w:lang w:eastAsia="ru-RU"/>
        </w:rPr>
        <w:t xml:space="preserve">* </w:t>
      </w:r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 xml:space="preserve">В соответствии с Регламентом, в случае </w:t>
      </w:r>
      <w:proofErr w:type="spellStart"/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>ненаправления</w:t>
      </w:r>
      <w:proofErr w:type="spellEnd"/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D960F5" w:rsidRDefault="00562993" w:rsidP="00562993">
      <w:pPr>
        <w:spacing w:after="0" w:line="240" w:lineRule="auto"/>
        <w:ind w:left="360" w:firstLine="0"/>
        <w:rPr>
          <w:sz w:val="17"/>
          <w:szCs w:val="17"/>
        </w:rPr>
      </w:pPr>
    </w:p>
    <w:p w14:paraId="3FEA4E67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 w:rsidRPr="002237F7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 w:rsidRPr="002237F7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10973C51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 w:rsidRPr="002237F7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2237F7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221B6CFD" w14:textId="202F2EB7" w:rsidR="00893181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511F27" w:rsidRPr="002237F7">
        <w:rPr>
          <w:rFonts w:eastAsia="Times New Roman" w:cs="Times New Roman"/>
          <w:sz w:val="17"/>
          <w:szCs w:val="17"/>
          <w:lang w:eastAsia="ru-RU"/>
        </w:rPr>
        <w:t xml:space="preserve">на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22FA579E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 Внебиржевом рынке</w:t>
      </w:r>
    </w:p>
    <w:p w14:paraId="79001918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РЕПО на Внебиржевом рынке</w:t>
      </w:r>
    </w:p>
    <w:p w14:paraId="41D70AF2" w14:textId="1600940F" w:rsidR="00172663" w:rsidRPr="00D960F5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 xml:space="preserve">с драгоценными металлами </w:t>
      </w:r>
      <w:r w:rsidR="00AC3789"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>на  Валютном рынке и рынке драгоценных металлов</w:t>
      </w:r>
    </w:p>
    <w:p w14:paraId="03089BE6" w14:textId="654CB7B8" w:rsidR="00562993" w:rsidRPr="00D960F5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на В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>алютн</w:t>
      </w:r>
      <w:r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="00BD1CD7" w:rsidRPr="002237F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 w:rsidRPr="002237F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 w:rsidRPr="002237F7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0A2A80B1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2237F7">
        <w:rPr>
          <w:rFonts w:eastAsia="Times New Roman" w:cs="Times New Roman"/>
          <w:sz w:val="17"/>
          <w:szCs w:val="17"/>
          <w:lang w:eastAsia="ru-RU"/>
        </w:rPr>
        <w:t>очн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D1CD7" w:rsidRPr="002237F7">
        <w:rPr>
          <w:rFonts w:eastAsia="Times New Roman" w:cs="Times New Roman"/>
          <w:sz w:val="17"/>
          <w:szCs w:val="17"/>
          <w:lang w:eastAsia="ru-RU"/>
        </w:rPr>
        <w:t xml:space="preserve">(для Управляющих компаний и </w:t>
      </w:r>
      <w:proofErr w:type="spellStart"/>
      <w:r w:rsidR="00BD1CD7" w:rsidRPr="002237F7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BD1CD7" w:rsidRPr="002237F7">
        <w:rPr>
          <w:rFonts w:eastAsia="Times New Roman" w:cs="Times New Roman"/>
          <w:sz w:val="17"/>
          <w:szCs w:val="17"/>
          <w:lang w:eastAsia="ru-RU"/>
        </w:rPr>
        <w:t>)</w:t>
      </w:r>
    </w:p>
    <w:p w14:paraId="7581EB1C" w14:textId="77777777" w:rsidR="00FE6A16" w:rsidRPr="00D960F5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4259785" w14:textId="77777777" w:rsidR="00130D83" w:rsidRPr="002237F7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Регистрация в качестве квалифицированного инвестора </w:t>
      </w:r>
    </w:p>
    <w:p w14:paraId="01329705" w14:textId="77B63249" w:rsidR="00FE6A16" w:rsidRPr="002237F7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781E841B" w14:textId="77777777" w:rsidR="00477F10" w:rsidRPr="00D960F5" w:rsidRDefault="00477F10" w:rsidP="00D27322">
      <w:pPr>
        <w:spacing w:after="0" w:line="240" w:lineRule="auto"/>
        <w:ind w:firstLine="0"/>
        <w:jc w:val="left"/>
        <w:rPr>
          <w:b/>
          <w:sz w:val="17"/>
          <w:szCs w:val="17"/>
        </w:rPr>
      </w:pPr>
    </w:p>
    <w:p w14:paraId="45BEFB97" w14:textId="77777777" w:rsidR="00562993" w:rsidRPr="002237F7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Назначение тарифа брокерско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2237F7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2237F7">
        <w:rPr>
          <w:rFonts w:eastAsia="Times New Roman" w:cs="Times New Roman"/>
          <w:sz w:val="17"/>
          <w:szCs w:val="17"/>
          <w:lang w:eastAsia="ru-RU"/>
        </w:rPr>
        <w:t>»</w:t>
      </w:r>
    </w:p>
    <w:p w14:paraId="48A9C04D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857A4C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857A4C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D960F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</w:t>
      </w:r>
    </w:p>
    <w:p w14:paraId="60DC6324" w14:textId="316C110E" w:rsidR="00DC161A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терминального модуля «Траст-менеджер»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857A4C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DC161A" w:rsidRPr="002237F7" w14:paraId="65436192" w14:textId="77777777" w:rsidTr="00D960F5">
        <w:tc>
          <w:tcPr>
            <w:tcW w:w="2263" w:type="dxa"/>
          </w:tcPr>
          <w:p w14:paraId="1E44E40A" w14:textId="77777777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57A4C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768" w:type="dxa"/>
          </w:tcPr>
          <w:p w14:paraId="53ED1BDD" w14:textId="374362FD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(не заполняется для терминального модуля  «Траст-менеджер»)</w:t>
            </w:r>
          </w:p>
        </w:tc>
      </w:tr>
      <w:tr w:rsidR="00DC161A" w:rsidRPr="002237F7" w14:paraId="6D5C8308" w14:textId="77777777" w:rsidTr="00D960F5">
        <w:trPr>
          <w:trHeight w:val="217"/>
        </w:trPr>
        <w:tc>
          <w:tcPr>
            <w:tcW w:w="2263" w:type="dxa"/>
          </w:tcPr>
          <w:p w14:paraId="65030750" w14:textId="77777777" w:rsidR="00DC161A" w:rsidRPr="00D960F5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768" w:type="dxa"/>
          </w:tcPr>
          <w:p w14:paraId="403C69C5" w14:textId="1148C368" w:rsidR="00DC161A" w:rsidRPr="002237F7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1" w:name="Is_Account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AA008D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AA008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1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Просмотровый</w:t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AA008D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AA008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57A4C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1E20EC6" w14:textId="4CE0F336" w:rsidR="00C22765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2237F7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 w:rsidRPr="002237F7">
        <w:rPr>
          <w:rFonts w:eastAsia="Times New Roman" w:cs="Times New Roman"/>
          <w:sz w:val="17"/>
          <w:szCs w:val="17"/>
          <w:lang w:eastAsia="ru-RU"/>
        </w:rPr>
        <w:t>,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2237F7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C22765" w:rsidRPr="002237F7" w14:paraId="4B607354" w14:textId="77777777" w:rsidTr="00D960F5">
        <w:trPr>
          <w:trHeight w:val="298"/>
        </w:trPr>
        <w:tc>
          <w:tcPr>
            <w:tcW w:w="2263" w:type="dxa"/>
          </w:tcPr>
          <w:p w14:paraId="101368F2" w14:textId="450EE481" w:rsidR="00C22765" w:rsidRPr="002237F7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val="en-US" w:eastAsia="ru-RU"/>
              </w:rPr>
              <w:t>UID</w:t>
            </w:r>
            <w:r w:rsidR="009E71A7" w:rsidRPr="002237F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768" w:type="dxa"/>
          </w:tcPr>
          <w:p w14:paraId="53ADBE0A" w14:textId="77777777" w:rsidR="00C22765" w:rsidRPr="00857A4C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Pr="002237F7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*По умолчанию счета добавляются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2B9FF6CF" w14:textId="77777777" w:rsidR="00DE27D8" w:rsidRPr="002237F7" w:rsidRDefault="00DE27D8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857A4C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D960F5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857A4C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</w:t>
      </w:r>
      <w:r w:rsidRPr="002237F7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</w:t>
      </w:r>
      <w:r w:rsidRPr="00857A4C">
        <w:rPr>
          <w:rFonts w:eastAsia="Times New Roman" w:cs="Times New Roman"/>
          <w:sz w:val="17"/>
          <w:szCs w:val="17"/>
          <w:lang w:eastAsia="ru-RU"/>
        </w:rPr>
        <w:t>и/или клиринговой организации (для депонентов специализированных депозитариев</w:t>
      </w:r>
      <w:r w:rsidR="00C65F00" w:rsidRPr="00857A4C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857A4C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857A4C">
        <w:rPr>
          <w:rFonts w:eastAsia="Times New Roman" w:cs="Times New Roman"/>
          <w:sz w:val="17"/>
          <w:szCs w:val="17"/>
          <w:lang w:eastAsia="ru-RU"/>
        </w:rPr>
        <w:t xml:space="preserve"> без дополнительных поручений со стороны Клиента</w:t>
      </w:r>
    </w:p>
    <w:p w14:paraId="350AECE7" w14:textId="2524F04C" w:rsidR="00562993" w:rsidRPr="002237F7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З</w:t>
      </w:r>
      <w:r w:rsidRPr="002237F7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2237F7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</w:t>
      </w:r>
      <w:r w:rsidRPr="002237F7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 w:rsidRPr="002237F7"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Pr="002237F7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A4C3B" w:rsidRPr="002237F7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 w:rsidRPr="002237F7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6E212168" w:rsidR="00487167" w:rsidRPr="002237F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 w:rsidRPr="002237F7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237F7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543892CB" w14:textId="77777777" w:rsidR="0054502C" w:rsidRPr="002237F7" w:rsidRDefault="001C78B2" w:rsidP="0054502C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sz w:val="17"/>
          <w:szCs w:val="17"/>
          <w:lang w:eastAsia="ru-RU"/>
        </w:rPr>
      </w:r>
      <w:r w:rsidR="00AA008D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4502C" w:rsidRPr="002237F7">
        <w:rPr>
          <w:rFonts w:eastAsia="Times New Roman" w:cs="Times New Roman"/>
          <w:sz w:val="17"/>
          <w:szCs w:val="17"/>
          <w:lang w:eastAsia="ru-RU"/>
        </w:rPr>
        <w:t>Не получать информационные и рекламные материалы</w:t>
      </w:r>
    </w:p>
    <w:p w14:paraId="7F431EA9" w14:textId="77777777" w:rsidR="001C78B2" w:rsidRPr="00857A4C" w:rsidRDefault="001C78B2" w:rsidP="00C22431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6FADD24" w14:textId="5A32C6AE" w:rsidR="00542B78" w:rsidRPr="00857A4C" w:rsidRDefault="007D468F" w:rsidP="007D468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электронному документообороту</w:t>
      </w:r>
    </w:p>
    <w:p w14:paraId="73FE16E8" w14:textId="77777777" w:rsidR="007D468F" w:rsidRPr="00857A4C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26985A8" w14:textId="78A6209B" w:rsidR="007D468F" w:rsidRPr="002237F7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AA008D">
        <w:rPr>
          <w:rFonts w:eastAsia="Times New Roman" w:cs="Times New Roman"/>
          <w:b/>
          <w:sz w:val="17"/>
          <w:szCs w:val="17"/>
          <w:lang w:eastAsia="ru-RU"/>
        </w:rPr>
      </w:r>
      <w:r w:rsidR="00AA008D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Осуществить подключение к 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Системе «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>Личн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ый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 xml:space="preserve"> кабинет клиента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»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 следующих условиях:</w:t>
      </w:r>
    </w:p>
    <w:p w14:paraId="68FCF0C7" w14:textId="77777777" w:rsidR="007D468F" w:rsidRPr="002237F7" w:rsidRDefault="007D468F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2C5502F" w14:textId="013A9109" w:rsidR="00542B78" w:rsidRPr="00857A4C" w:rsidRDefault="00857A4C" w:rsidP="00D960F5">
      <w:pPr>
        <w:spacing w:after="0" w:line="240" w:lineRule="auto"/>
        <w:ind w:left="360" w:right="136" w:hanging="360"/>
        <w:jc w:val="left"/>
        <w:rPr>
          <w:rFonts w:eastAsia="Calibri" w:cs="Times New Roman"/>
          <w:b/>
          <w:sz w:val="17"/>
          <w:szCs w:val="17"/>
        </w:rPr>
      </w:pPr>
      <w:r w:rsidRPr="00857A4C">
        <w:rPr>
          <w:rFonts w:eastAsia="Calibri" w:cs="Times New Roman"/>
          <w:b/>
          <w:sz w:val="17"/>
          <w:szCs w:val="17"/>
        </w:rPr>
        <w:t xml:space="preserve">Список авторизованных пользователей и </w:t>
      </w:r>
      <w:proofErr w:type="spellStart"/>
      <w:r w:rsidRPr="00857A4C">
        <w:rPr>
          <w:rFonts w:eastAsia="Calibri" w:cs="Times New Roman"/>
          <w:b/>
          <w:sz w:val="17"/>
          <w:szCs w:val="17"/>
        </w:rPr>
        <w:t>аутентификационные</w:t>
      </w:r>
      <w:proofErr w:type="spellEnd"/>
      <w:r w:rsidRPr="00857A4C">
        <w:rPr>
          <w:rFonts w:eastAsia="Calibri" w:cs="Times New Roman"/>
          <w:b/>
          <w:sz w:val="17"/>
          <w:szCs w:val="17"/>
        </w:rPr>
        <w:t xml:space="preserve"> данные:</w:t>
      </w:r>
    </w:p>
    <w:tbl>
      <w:tblPr>
        <w:tblStyle w:val="1"/>
        <w:tblW w:w="9804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553"/>
      </w:tblGrid>
      <w:tr w:rsidR="00542B78" w:rsidRPr="002237F7" w14:paraId="3BDA729F" w14:textId="77777777" w:rsidTr="00D960F5">
        <w:tc>
          <w:tcPr>
            <w:tcW w:w="2492" w:type="dxa"/>
            <w:vAlign w:val="center"/>
          </w:tcPr>
          <w:p w14:paraId="56A1EDB8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</w:rPr>
              <w:t>Фамилия Имя Отчество</w:t>
            </w:r>
            <w:r w:rsidRPr="00857A4C">
              <w:rPr>
                <w:rFonts w:eastAsia="Calibri" w:cs="Times New Roman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1D299319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  <w:lang w:val="en-US"/>
              </w:rPr>
              <w:t>Email (</w:t>
            </w:r>
            <w:r w:rsidRPr="00857A4C">
              <w:rPr>
                <w:rFonts w:eastAsia="Calibri" w:cs="Times New Roman"/>
                <w:b/>
                <w:sz w:val="17"/>
                <w:szCs w:val="17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5EFCE518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26EDC0B5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доступа</w:t>
            </w:r>
          </w:p>
        </w:tc>
        <w:tc>
          <w:tcPr>
            <w:tcW w:w="1553" w:type="dxa"/>
            <w:vAlign w:val="center"/>
          </w:tcPr>
          <w:p w14:paraId="0A06A451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подписи</w:t>
            </w:r>
          </w:p>
        </w:tc>
      </w:tr>
      <w:tr w:rsidR="00542B78" w:rsidRPr="002237F7" w14:paraId="774AF0DE" w14:textId="77777777" w:rsidTr="00D960F5">
        <w:tc>
          <w:tcPr>
            <w:tcW w:w="2492" w:type="dxa"/>
          </w:tcPr>
          <w:p w14:paraId="466C0445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38ECA1FC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690F0EFF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01BF2D4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 </w:t>
            </w:r>
          </w:p>
          <w:p w14:paraId="1E397C3A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E5F78B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4FA6E570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  <w:p w14:paraId="50BCD52D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НЭП</w:t>
            </w:r>
          </w:p>
        </w:tc>
      </w:tr>
      <w:tr w:rsidR="00542B78" w:rsidRPr="002237F7" w14:paraId="036DACD7" w14:textId="77777777" w:rsidTr="00D960F5">
        <w:tc>
          <w:tcPr>
            <w:tcW w:w="2492" w:type="dxa"/>
          </w:tcPr>
          <w:p w14:paraId="1107667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63F2B9C5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71CDB2E6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7B5516D0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</w:t>
            </w:r>
          </w:p>
          <w:p w14:paraId="0A59341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B30C41B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38E0008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  <w:p w14:paraId="0481D24E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</w:r>
            <w:r w:rsidR="00AA008D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НЭП</w:t>
            </w:r>
          </w:p>
        </w:tc>
      </w:tr>
    </w:tbl>
    <w:p w14:paraId="218C77EB" w14:textId="77777777" w:rsidR="00542B78" w:rsidRPr="00857A4C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i/>
          <w:sz w:val="17"/>
          <w:szCs w:val="17"/>
          <w:lang w:eastAsia="ru-RU"/>
        </w:rPr>
        <w:t xml:space="preserve">Примечание: </w:t>
      </w:r>
      <w:r w:rsidRPr="002237F7">
        <w:rPr>
          <w:rFonts w:eastAsia="Times New Roman" w:cs="Times New Roman"/>
          <w:i/>
          <w:sz w:val="17"/>
          <w:szCs w:val="17"/>
          <w:lang w:eastAsia="ru-RU"/>
        </w:rPr>
        <w:t xml:space="preserve">в случае предоставления Получателем финансовых услуг своему Уполномоченному представителю права подписания электронных документов электронной подписью, Получатель финансовых услуг предоставляет в РЕГИОН </w:t>
      </w:r>
      <w:r w:rsidRPr="00D960F5">
        <w:rPr>
          <w:rFonts w:eastAsia="Times New Roman" w:cs="Times New Roman"/>
          <w:b/>
          <w:i/>
          <w:sz w:val="17"/>
          <w:szCs w:val="17"/>
          <w:lang w:eastAsia="ru-RU"/>
        </w:rPr>
        <w:t>доверенность,</w:t>
      </w:r>
      <w:r w:rsidRPr="002237F7">
        <w:rPr>
          <w:rFonts w:eastAsia="Times New Roman" w:cs="Times New Roman"/>
          <w:i/>
          <w:sz w:val="17"/>
          <w:szCs w:val="17"/>
          <w:lang w:eastAsia="ru-RU"/>
        </w:rPr>
        <w:t xml:space="preserve"> а также анкету и документы на Уполномоченного представителя;</w:t>
      </w:r>
    </w:p>
    <w:p w14:paraId="24E1349C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i/>
          <w:sz w:val="17"/>
          <w:szCs w:val="17"/>
          <w:lang w:eastAsia="ru-RU"/>
        </w:rPr>
        <w:t>Доступ в Систему «Личный кабинет клиента» автоматически приостанавливается в случае окончания срока действия полномочий Уполномоченного представителя.</w:t>
      </w:r>
    </w:p>
    <w:p w14:paraId="6EAC0E06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7"/>
          <w:szCs w:val="17"/>
          <w:lang w:eastAsia="ru-RU"/>
        </w:rPr>
      </w:pPr>
    </w:p>
    <w:p w14:paraId="59A2F5B6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 w:bidi="ru-RU"/>
        </w:rPr>
      </w:pPr>
      <w:r w:rsidRPr="002237F7">
        <w:rPr>
          <w:rFonts w:eastAsia="Times New Roman" w:cs="Times New Roman"/>
          <w:b/>
          <w:sz w:val="17"/>
          <w:szCs w:val="17"/>
          <w:lang w:eastAsia="ru-RU" w:bidi="ru-RU"/>
        </w:rPr>
        <w:t>Полный доступ</w:t>
      </w:r>
      <w:r w:rsidRPr="002237F7">
        <w:rPr>
          <w:rFonts w:eastAsia="Times New Roman" w:cs="Times New Roman"/>
          <w:sz w:val="17"/>
          <w:szCs w:val="17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5BB938EF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Просмотровый доступ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3BBAAD7C" w14:textId="77777777" w:rsidR="00542B78" w:rsidRPr="002237F7" w:rsidRDefault="00542B78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D960F5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7E792F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факт ознакомления со следующими документами (</w:t>
      </w:r>
      <w:r w:rsidR="005A4C3B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D960F5">
        <w:rPr>
          <w:rFonts w:eastAsia="Times New Roman" w:cs="Times New Roman"/>
          <w:b/>
          <w:sz w:val="17"/>
          <w:szCs w:val="17"/>
          <w:lang w:eastAsia="ru-RU"/>
        </w:rPr>
        <w:t>:</w:t>
      </w:r>
    </w:p>
    <w:p w14:paraId="47396278" w14:textId="337CDEB9" w:rsidR="0023281E" w:rsidRPr="002237F7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510121DC" w14:textId="48864E1F" w:rsidR="0023281E" w:rsidRPr="00857A4C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об общих рисках, связанных с осуществлением операций на рынке ценных бумаг (Приложение №21)</w:t>
      </w:r>
      <w:r w:rsidR="0023281E" w:rsidRPr="00857A4C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44F5D819" w:rsidR="00E017CC" w:rsidRPr="002237F7" w:rsidRDefault="00C22431" w:rsidP="00C22431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 xml:space="preserve">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ч.1.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3FFDED3" w14:textId="3F5D8560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3C1B6B4D" w14:textId="0F8C0F8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3D7397BC" w14:textId="4A676CE1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BAD27FE" w14:textId="768BBAEE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308AB83" w14:textId="780BFBF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1197AA9" w14:textId="5473893B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26457B19" w:rsidR="00767579" w:rsidRPr="002237F7" w:rsidRDefault="00767579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Pr="002237F7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510BB2AF" w14:textId="77777777" w:rsidR="00542B78" w:rsidRPr="00857A4C" w:rsidRDefault="0023281E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</w:t>
      </w:r>
      <w:r w:rsidR="00542B78" w:rsidRPr="00857A4C">
        <w:rPr>
          <w:rFonts w:eastAsia="Times New Roman" w:cs="Times New Roman"/>
          <w:sz w:val="17"/>
          <w:szCs w:val="17"/>
          <w:lang w:eastAsia="ru-RU"/>
        </w:rPr>
        <w:t>;</w:t>
      </w:r>
    </w:p>
    <w:p w14:paraId="181DD08F" w14:textId="14628E77" w:rsidR="00542B78" w:rsidRPr="002237F7" w:rsidRDefault="00F579B3" w:rsidP="00542B78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542B78"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12B8FAA8" w14:textId="77777777" w:rsidR="0023281E" w:rsidRPr="002237F7" w:rsidRDefault="0023281E" w:rsidP="00D960F5">
      <w:pPr>
        <w:spacing w:after="0" w:line="240" w:lineRule="auto"/>
        <w:rPr>
          <w:rFonts w:eastAsia="Times New Roman" w:cs="Times New Roman"/>
          <w:sz w:val="17"/>
          <w:szCs w:val="17"/>
          <w:lang w:eastAsia="ru-RU"/>
        </w:rPr>
      </w:pPr>
    </w:p>
    <w:p w14:paraId="2928F0AE" w14:textId="7D0B688B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подтверждает, что содержание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окументов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К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окументами, в том числе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с 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Декларациями о рисках ознакомлен.</w:t>
      </w:r>
    </w:p>
    <w:p w14:paraId="0AE28EE8" w14:textId="7793F729" w:rsidR="0023281E" w:rsidRPr="002237F7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4B1D456E" w14:textId="77777777" w:rsidR="001C78B2" w:rsidRPr="00857A4C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>Подпись Клиента/Представителя клиента:</w:t>
      </w:r>
    </w:p>
    <w:p w14:paraId="068C42F3" w14:textId="5B337775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Дата: «____» _______________ 20__</w:t>
      </w:r>
      <w:r w:rsidR="00350D12" w:rsidRPr="00D960F5">
        <w:rPr>
          <w:rFonts w:eastAsia="Times New Roman" w:cs="Times New Roman"/>
          <w:sz w:val="17"/>
          <w:szCs w:val="17"/>
          <w:lang w:eastAsia="ru-RU"/>
        </w:rPr>
        <w:t>_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года</w:t>
      </w:r>
    </w:p>
    <w:p w14:paraId="6C0EACEC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25C91F66" w14:textId="5392B76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 xml:space="preserve">Подпись: </w:t>
      </w:r>
    </w:p>
    <w:p w14:paraId="0A0CC7BC" w14:textId="5BB1CB7F" w:rsidR="001C78B2" w:rsidRPr="00D960F5" w:rsidRDefault="001C78B2" w:rsidP="00D960F5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12F0AE3" id="Прямая соединительная линия 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</w:t>
      </w:r>
      <w:r w:rsidR="00857A4C">
        <w:rPr>
          <w:rFonts w:eastAsia="Times New Roman" w:cs="Times New Roman"/>
          <w:sz w:val="17"/>
          <w:szCs w:val="17"/>
          <w:lang w:eastAsia="ru-RU"/>
        </w:rPr>
        <w:t>М.П.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                                        </w:t>
      </w:r>
    </w:p>
    <w:p w14:paraId="372BA1A3" w14:textId="1E185031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B7B68D" id="Прямая соединительная линия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Должность, ФИО:       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69F4D60" id="Прямая соединительная линия 5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lastRenderedPageBreak/>
              <w:t xml:space="preserve"> </w:t>
            </w:r>
            <w:r w:rsidR="00562993" w:rsidRPr="00D960F5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EDD7A94" w14:textId="77777777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щим подтверждаем прием Заявления и заключение с Клиентом:</w:t>
            </w:r>
          </w:p>
          <w:p w14:paraId="21B46A51" w14:textId="77777777" w:rsidR="001C78B2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FB798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367307B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FCBE9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7C298EE2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6171D03B" w14:textId="06F3A8B8" w:rsidR="00BE6C2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5E03120E" w14:textId="77777777" w:rsidR="00BE6C2D" w:rsidRPr="00AA008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15F6425" w14:textId="1DE88E51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A008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A008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BE6C2D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0991648D" w14:textId="77777777" w:rsidR="00562993" w:rsidRPr="00562993" w:rsidRDefault="00562993" w:rsidP="00AA008D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bookmarkEnd w:id="0"/>
    </w:tbl>
    <w:p w14:paraId="33664D97" w14:textId="7F05F9B0" w:rsidR="00BE6A68" w:rsidRPr="00C22431" w:rsidRDefault="00BE6A68" w:rsidP="00C22431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RPr="00C22431" w:rsidSect="00D960F5">
      <w:headerReference w:type="default" r:id="rId10"/>
      <w:footerReference w:type="default" r:id="rId11"/>
      <w:pgSz w:w="11906" w:h="16838" w:code="9"/>
      <w:pgMar w:top="426" w:right="851" w:bottom="426" w:left="992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2DB3C" w14:textId="77777777" w:rsidR="000E3441" w:rsidRDefault="000E3441">
      <w:pPr>
        <w:spacing w:after="0" w:line="240" w:lineRule="auto"/>
      </w:pPr>
      <w:r>
        <w:separator/>
      </w:r>
    </w:p>
  </w:endnote>
  <w:endnote w:type="continuationSeparator" w:id="0">
    <w:p w14:paraId="6705F2D1" w14:textId="77777777" w:rsidR="000E3441" w:rsidRDefault="000E3441">
      <w:pPr>
        <w:spacing w:after="0" w:line="240" w:lineRule="auto"/>
      </w:pPr>
      <w:r>
        <w:continuationSeparator/>
      </w:r>
    </w:p>
  </w:endnote>
  <w:endnote w:type="continuationNotice" w:id="1">
    <w:p w14:paraId="62453FD3" w14:textId="77777777" w:rsidR="000E3441" w:rsidRDefault="000E3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5E58" w14:textId="217D4C8C" w:rsidR="00B61CAC" w:rsidRDefault="00AA008D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50319" w14:textId="77777777" w:rsidR="000E3441" w:rsidRDefault="000E3441">
      <w:pPr>
        <w:spacing w:after="0" w:line="240" w:lineRule="auto"/>
      </w:pPr>
      <w:r>
        <w:separator/>
      </w:r>
    </w:p>
  </w:footnote>
  <w:footnote w:type="continuationSeparator" w:id="0">
    <w:p w14:paraId="72F878E4" w14:textId="77777777" w:rsidR="000E3441" w:rsidRDefault="000E3441">
      <w:pPr>
        <w:spacing w:after="0" w:line="240" w:lineRule="auto"/>
      </w:pPr>
      <w:r>
        <w:continuationSeparator/>
      </w:r>
    </w:p>
  </w:footnote>
  <w:footnote w:type="continuationNotice" w:id="1">
    <w:p w14:paraId="36699C73" w14:textId="77777777" w:rsidR="000E3441" w:rsidRDefault="000E3441">
      <w:pPr>
        <w:spacing w:after="0" w:line="240" w:lineRule="auto"/>
      </w:pPr>
    </w:p>
  </w:footnote>
  <w:footnote w:id="2">
    <w:p w14:paraId="56351761" w14:textId="5EEE52BA" w:rsidR="009E3ED4" w:rsidRPr="00D960F5" w:rsidRDefault="00254B5C" w:rsidP="00254B5C">
      <w:pPr>
        <w:pStyle w:val="ad"/>
        <w:ind w:firstLine="0"/>
        <w:rPr>
          <w:rFonts w:eastAsia="Times New Roman" w:cs="Times New Roman"/>
          <w:sz w:val="14"/>
          <w:szCs w:val="17"/>
          <w:lang w:eastAsia="ru-RU"/>
        </w:rPr>
      </w:pPr>
      <w:r w:rsidRPr="00D960F5">
        <w:rPr>
          <w:rStyle w:val="af"/>
          <w:sz w:val="12"/>
          <w:szCs w:val="16"/>
        </w:rPr>
        <w:footnoteRef/>
      </w:r>
      <w:r w:rsidRPr="00D960F5">
        <w:rPr>
          <w:sz w:val="12"/>
          <w:szCs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D960F5" w:rsidRDefault="00C22765" w:rsidP="00355819">
      <w:pPr>
        <w:pStyle w:val="ad"/>
        <w:ind w:firstLine="0"/>
        <w:rPr>
          <w:sz w:val="16"/>
        </w:rPr>
      </w:pPr>
      <w:r w:rsidRPr="00D960F5">
        <w:rPr>
          <w:rStyle w:val="af"/>
          <w:sz w:val="16"/>
        </w:rPr>
        <w:footnoteRef/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В случае наличия у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>заявителя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нескольких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 xml:space="preserve">ранее заключенных 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действующих </w:t>
      </w:r>
      <w:r w:rsidRPr="00D960F5">
        <w:rPr>
          <w:rFonts w:eastAsia="Times New Roman" w:cs="Times New Roman"/>
          <w:bCs/>
          <w:sz w:val="12"/>
          <w:szCs w:val="16"/>
          <w:lang w:eastAsia="ru-RU"/>
        </w:rPr>
        <w:t>соглашений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D960F5">
        <w:rPr>
          <w:rStyle w:val="af"/>
          <w:sz w:val="16"/>
        </w:rPr>
        <w:footnoteRef/>
      </w:r>
      <w:r w:rsidRPr="00D960F5">
        <w:rPr>
          <w:rStyle w:val="af"/>
          <w:sz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AA008D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9E6785"/>
    <w:multiLevelType w:val="hybridMultilevel"/>
    <w:tmpl w:val="6F0CB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101A6"/>
    <w:rsid w:val="000301C6"/>
    <w:rsid w:val="000422E7"/>
    <w:rsid w:val="00042B28"/>
    <w:rsid w:val="00046C50"/>
    <w:rsid w:val="000518F6"/>
    <w:rsid w:val="00057BB1"/>
    <w:rsid w:val="00066724"/>
    <w:rsid w:val="000D4538"/>
    <w:rsid w:val="000E3441"/>
    <w:rsid w:val="000F2838"/>
    <w:rsid w:val="00130D83"/>
    <w:rsid w:val="00172663"/>
    <w:rsid w:val="0018272C"/>
    <w:rsid w:val="001A2282"/>
    <w:rsid w:val="001C157D"/>
    <w:rsid w:val="001C78B2"/>
    <w:rsid w:val="001F5CF3"/>
    <w:rsid w:val="002237F7"/>
    <w:rsid w:val="0023281E"/>
    <w:rsid w:val="00254B5C"/>
    <w:rsid w:val="00270FFD"/>
    <w:rsid w:val="002A70F6"/>
    <w:rsid w:val="002B359D"/>
    <w:rsid w:val="002C5F50"/>
    <w:rsid w:val="002D4A6E"/>
    <w:rsid w:val="003008BB"/>
    <w:rsid w:val="00310C98"/>
    <w:rsid w:val="00317733"/>
    <w:rsid w:val="003230AD"/>
    <w:rsid w:val="003232FC"/>
    <w:rsid w:val="00333ED5"/>
    <w:rsid w:val="003403D6"/>
    <w:rsid w:val="00350D12"/>
    <w:rsid w:val="003525ED"/>
    <w:rsid w:val="00355819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AF3"/>
    <w:rsid w:val="00487167"/>
    <w:rsid w:val="004D4ABC"/>
    <w:rsid w:val="004E4599"/>
    <w:rsid w:val="004E5F4F"/>
    <w:rsid w:val="004F1E4F"/>
    <w:rsid w:val="004F5208"/>
    <w:rsid w:val="004F7948"/>
    <w:rsid w:val="00504575"/>
    <w:rsid w:val="00511F27"/>
    <w:rsid w:val="00542B78"/>
    <w:rsid w:val="0054502C"/>
    <w:rsid w:val="00562993"/>
    <w:rsid w:val="005726F4"/>
    <w:rsid w:val="00576C50"/>
    <w:rsid w:val="005A4C3B"/>
    <w:rsid w:val="005C307E"/>
    <w:rsid w:val="00605903"/>
    <w:rsid w:val="006149E6"/>
    <w:rsid w:val="006235D7"/>
    <w:rsid w:val="00634EDF"/>
    <w:rsid w:val="006510CD"/>
    <w:rsid w:val="00663966"/>
    <w:rsid w:val="0067553E"/>
    <w:rsid w:val="00686E36"/>
    <w:rsid w:val="0069173D"/>
    <w:rsid w:val="006B296D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D468F"/>
    <w:rsid w:val="007E792F"/>
    <w:rsid w:val="00801471"/>
    <w:rsid w:val="00806E92"/>
    <w:rsid w:val="00823754"/>
    <w:rsid w:val="00845280"/>
    <w:rsid w:val="00857A4C"/>
    <w:rsid w:val="0086057A"/>
    <w:rsid w:val="00872FCF"/>
    <w:rsid w:val="00877E67"/>
    <w:rsid w:val="00893181"/>
    <w:rsid w:val="009137C0"/>
    <w:rsid w:val="009274B2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B1427"/>
    <w:rsid w:val="009D4627"/>
    <w:rsid w:val="009E3ED4"/>
    <w:rsid w:val="009E71A7"/>
    <w:rsid w:val="00A13465"/>
    <w:rsid w:val="00A755D4"/>
    <w:rsid w:val="00AA008D"/>
    <w:rsid w:val="00AC3789"/>
    <w:rsid w:val="00AE1E90"/>
    <w:rsid w:val="00AF5A82"/>
    <w:rsid w:val="00B05669"/>
    <w:rsid w:val="00B204EA"/>
    <w:rsid w:val="00B243AC"/>
    <w:rsid w:val="00B3479F"/>
    <w:rsid w:val="00B34EB6"/>
    <w:rsid w:val="00B3507A"/>
    <w:rsid w:val="00B46FC2"/>
    <w:rsid w:val="00B477B2"/>
    <w:rsid w:val="00B70E0C"/>
    <w:rsid w:val="00B742E6"/>
    <w:rsid w:val="00B942D6"/>
    <w:rsid w:val="00BB2D73"/>
    <w:rsid w:val="00BD1CD7"/>
    <w:rsid w:val="00BD4D18"/>
    <w:rsid w:val="00BE363A"/>
    <w:rsid w:val="00BE480A"/>
    <w:rsid w:val="00BE6A68"/>
    <w:rsid w:val="00BE6C2D"/>
    <w:rsid w:val="00C01098"/>
    <w:rsid w:val="00C0201A"/>
    <w:rsid w:val="00C050B3"/>
    <w:rsid w:val="00C056A2"/>
    <w:rsid w:val="00C056B2"/>
    <w:rsid w:val="00C22431"/>
    <w:rsid w:val="00C22765"/>
    <w:rsid w:val="00C22902"/>
    <w:rsid w:val="00C3080E"/>
    <w:rsid w:val="00C520E7"/>
    <w:rsid w:val="00C60E5E"/>
    <w:rsid w:val="00C65F00"/>
    <w:rsid w:val="00C67DF7"/>
    <w:rsid w:val="00C73580"/>
    <w:rsid w:val="00C8550C"/>
    <w:rsid w:val="00CB12BA"/>
    <w:rsid w:val="00CB1EB9"/>
    <w:rsid w:val="00CC4F9F"/>
    <w:rsid w:val="00CE1B69"/>
    <w:rsid w:val="00D13429"/>
    <w:rsid w:val="00D27322"/>
    <w:rsid w:val="00D319BB"/>
    <w:rsid w:val="00D44B51"/>
    <w:rsid w:val="00D571FB"/>
    <w:rsid w:val="00D608AD"/>
    <w:rsid w:val="00D960F5"/>
    <w:rsid w:val="00DA7214"/>
    <w:rsid w:val="00DB01B9"/>
    <w:rsid w:val="00DC161A"/>
    <w:rsid w:val="00DD2FC4"/>
    <w:rsid w:val="00DE27D8"/>
    <w:rsid w:val="00DE6E43"/>
    <w:rsid w:val="00E017CC"/>
    <w:rsid w:val="00E0499B"/>
    <w:rsid w:val="00E2517A"/>
    <w:rsid w:val="00E44626"/>
    <w:rsid w:val="00E6330D"/>
    <w:rsid w:val="00EC3D4A"/>
    <w:rsid w:val="00EF5F33"/>
    <w:rsid w:val="00EF6B5C"/>
    <w:rsid w:val="00F0115A"/>
    <w:rsid w:val="00F46097"/>
    <w:rsid w:val="00F579B3"/>
    <w:rsid w:val="00F66A8C"/>
    <w:rsid w:val="00F7179E"/>
    <w:rsid w:val="00F721AB"/>
    <w:rsid w:val="00F877C4"/>
    <w:rsid w:val="00FA5859"/>
    <w:rsid w:val="00FD3821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7076-A0AC-4681-AF03-FA7E7B08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2024-09-18T07:44:00Z</dcterms:created>
  <dcterms:modified xsi:type="dcterms:W3CDTF">2024-10-07T15:36:00Z</dcterms:modified>
</cp:coreProperties>
</file>